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F354" w14:textId="44214504" w:rsidR="00A42474" w:rsidRPr="00F42E5D" w:rsidRDefault="00F42E5D">
      <w:pPr>
        <w:rPr>
          <w:rFonts w:ascii="Gill Sans MT" w:eastAsia="Batang" w:hAnsi="Gill Sans MT" w:cs="Times New Roman"/>
          <w:b/>
          <w:bCs/>
          <w:iCs/>
          <w:sz w:val="24"/>
          <w:szCs w:val="24"/>
          <w:lang w:eastAsia="en-AU"/>
        </w:rPr>
      </w:pPr>
      <w:r w:rsidRPr="00F42E5D">
        <w:rPr>
          <w:rFonts w:ascii="Gill Sans MT" w:eastAsia="Batang" w:hAnsi="Gill Sans MT" w:cs="Times New Roman"/>
          <w:b/>
          <w:bCs/>
          <w:iCs/>
          <w:sz w:val="24"/>
          <w:szCs w:val="24"/>
          <w:lang w:eastAsia="en-AU"/>
        </w:rPr>
        <w:t>A</w:t>
      </w:r>
      <w:r>
        <w:rPr>
          <w:rFonts w:ascii="Gill Sans MT" w:eastAsia="Batang" w:hAnsi="Gill Sans MT" w:cs="Times New Roman"/>
          <w:b/>
          <w:bCs/>
          <w:iCs/>
          <w:sz w:val="24"/>
          <w:szCs w:val="24"/>
          <w:lang w:eastAsia="en-AU"/>
        </w:rPr>
        <w:t>NNEX</w:t>
      </w:r>
      <w:r w:rsidRPr="00F42E5D">
        <w:rPr>
          <w:rFonts w:ascii="Gill Sans MT" w:eastAsia="Batang" w:hAnsi="Gill Sans MT" w:cs="Times New Roman"/>
          <w:b/>
          <w:bCs/>
          <w:iCs/>
          <w:sz w:val="24"/>
          <w:szCs w:val="24"/>
          <w:lang w:eastAsia="en-AU"/>
        </w:rPr>
        <w:t xml:space="preserve"> B</w:t>
      </w:r>
    </w:p>
    <w:p w14:paraId="2C9F1D7A" w14:textId="77777777" w:rsidR="00F42E5D" w:rsidRPr="00387463" w:rsidRDefault="00F42E5D" w:rsidP="00F42E5D">
      <w:pPr>
        <w:keepNext/>
        <w:spacing w:after="120" w:line="240" w:lineRule="auto"/>
        <w:outlineLvl w:val="3"/>
        <w:rPr>
          <w:rFonts w:ascii="Gill Sans MT" w:eastAsia="Batang" w:hAnsi="Gill Sans MT" w:cs="Times New Roman"/>
          <w:b/>
          <w:bCs/>
          <w:iCs/>
          <w:sz w:val="24"/>
          <w:szCs w:val="24"/>
          <w:lang w:eastAsia="en-AU"/>
        </w:rPr>
      </w:pPr>
      <w:r w:rsidRPr="00387463">
        <w:rPr>
          <w:rFonts w:ascii="Gill Sans MT" w:eastAsia="Batang" w:hAnsi="Gill Sans MT" w:cs="Times New Roman"/>
          <w:b/>
          <w:bCs/>
          <w:iCs/>
          <w:sz w:val="24"/>
          <w:szCs w:val="24"/>
          <w:lang w:eastAsia="en-AU"/>
        </w:rPr>
        <w:t>REVIEW AND EVALUATION PROCEDURE</w:t>
      </w:r>
    </w:p>
    <w:p w14:paraId="6F3AA9F5" w14:textId="3536EB61" w:rsidR="00F42E5D" w:rsidRPr="00387463" w:rsidRDefault="00F42E5D" w:rsidP="00F42E5D">
      <w:pPr>
        <w:spacing w:after="120" w:line="240" w:lineRule="auto"/>
        <w:jc w:val="both"/>
        <w:rPr>
          <w:rFonts w:ascii="Gill Sans MT" w:eastAsia="Batang" w:hAnsi="Gill Sans MT" w:cs="Times New Roman"/>
          <w:iCs/>
          <w:sz w:val="24"/>
          <w:szCs w:val="24"/>
        </w:rPr>
      </w:pPr>
      <w:r w:rsidRPr="00387463">
        <w:rPr>
          <w:rFonts w:ascii="Gill Sans MT" w:eastAsia="Batang" w:hAnsi="Gill Sans MT" w:cs="Times New Roman"/>
          <w:iCs/>
          <w:sz w:val="24"/>
          <w:szCs w:val="24"/>
        </w:rPr>
        <w:t xml:space="preserve">A review and evaluation of applications will be conducted by the Grants Evaluation Committee (GEC) in accordance with scoring criteria established in the RFA, and with ADS 303.3.6.3. Applications will be individually and independently reviewed and scored by individual members of the committee. The GEC will then convene to evaluate applications, either identifying deficiencies to be corrected by applicants prior to final decision or, if no deficiencies or corrections are necessary, will average application scores to determine an awardee. </w:t>
      </w:r>
    </w:p>
    <w:p w14:paraId="389717A3" w14:textId="77777777" w:rsidR="00F42E5D" w:rsidRDefault="00F42E5D" w:rsidP="00F42E5D">
      <w:pPr>
        <w:spacing w:after="120" w:line="240" w:lineRule="auto"/>
        <w:jc w:val="both"/>
        <w:rPr>
          <w:rFonts w:ascii="Gill Sans MT" w:eastAsia="Batang" w:hAnsi="Gill Sans MT" w:cs="Times New Roman"/>
          <w:iCs/>
          <w:sz w:val="24"/>
          <w:szCs w:val="24"/>
        </w:rPr>
      </w:pPr>
      <w:r w:rsidRPr="00387463">
        <w:rPr>
          <w:rFonts w:ascii="Gill Sans MT" w:eastAsia="Batang" w:hAnsi="Gill Sans MT" w:cs="Times New Roman"/>
          <w:iCs/>
          <w:sz w:val="24"/>
          <w:szCs w:val="24"/>
        </w:rPr>
        <w:t xml:space="preserve">The below table provides the scores for each category being scored in the solicitation. </w:t>
      </w:r>
    </w:p>
    <w:p w14:paraId="177296F8" w14:textId="77777777" w:rsidR="00F42E5D" w:rsidRPr="00387463" w:rsidRDefault="00F42E5D" w:rsidP="00F42E5D">
      <w:pPr>
        <w:spacing w:after="120" w:line="240" w:lineRule="auto"/>
        <w:jc w:val="both"/>
        <w:rPr>
          <w:rFonts w:ascii="Gill Sans MT" w:eastAsia="Batang" w:hAnsi="Gill Sans MT" w:cs="Times New Roman"/>
          <w:iCs/>
          <w:sz w:val="24"/>
          <w:szCs w:val="24"/>
        </w:rPr>
      </w:pPr>
      <w:r w:rsidRPr="00387463">
        <w:rPr>
          <w:rFonts w:ascii="Gill Sans MT" w:eastAsia="Batang" w:hAnsi="Gill Sans MT" w:cs="Times New Roman"/>
          <w:iCs/>
          <w:sz w:val="24"/>
          <w:szCs w:val="24"/>
        </w:rPr>
        <w:t xml:space="preserve"> </w:t>
      </w:r>
    </w:p>
    <w:tbl>
      <w:tblPr>
        <w:tblStyle w:val="TableGrid"/>
        <w:tblW w:w="9355" w:type="dxa"/>
        <w:tblLook w:val="04A0" w:firstRow="1" w:lastRow="0" w:firstColumn="1" w:lastColumn="0" w:noHBand="0" w:noVBand="1"/>
      </w:tblPr>
      <w:tblGrid>
        <w:gridCol w:w="1975"/>
        <w:gridCol w:w="5940"/>
        <w:gridCol w:w="1440"/>
      </w:tblGrid>
      <w:tr w:rsidR="00F42E5D" w:rsidRPr="00434FB9" w14:paraId="27E1BB85" w14:textId="77777777" w:rsidTr="00FF2341">
        <w:trPr>
          <w:tblHeader/>
        </w:trPr>
        <w:tc>
          <w:tcPr>
            <w:tcW w:w="1975" w:type="dxa"/>
          </w:tcPr>
          <w:p w14:paraId="221657E6" w14:textId="77777777" w:rsidR="00F42E5D" w:rsidRPr="00387463" w:rsidRDefault="00F42E5D" w:rsidP="00387463">
            <w:pPr>
              <w:jc w:val="both"/>
              <w:rPr>
                <w:rFonts w:ascii="Gill Sans MT" w:eastAsia="Batang" w:hAnsi="Gill Sans MT"/>
                <w:b/>
                <w:bCs/>
                <w:iCs/>
                <w:sz w:val="24"/>
                <w:szCs w:val="24"/>
              </w:rPr>
            </w:pPr>
            <w:r w:rsidRPr="00387463">
              <w:rPr>
                <w:rFonts w:ascii="Gill Sans MT" w:eastAsia="Batang" w:hAnsi="Gill Sans MT"/>
                <w:b/>
                <w:bCs/>
                <w:iCs/>
                <w:sz w:val="24"/>
                <w:szCs w:val="24"/>
              </w:rPr>
              <w:t>Evaluation Criteria</w:t>
            </w:r>
          </w:p>
        </w:tc>
        <w:tc>
          <w:tcPr>
            <w:tcW w:w="5940" w:type="dxa"/>
          </w:tcPr>
          <w:p w14:paraId="4E36E80C" w14:textId="77777777" w:rsidR="00F42E5D" w:rsidRPr="00387463" w:rsidRDefault="00F42E5D" w:rsidP="00387463">
            <w:pPr>
              <w:jc w:val="both"/>
              <w:rPr>
                <w:rFonts w:ascii="Gill Sans MT" w:eastAsia="Batang" w:hAnsi="Gill Sans MT"/>
                <w:b/>
                <w:bCs/>
                <w:iCs/>
                <w:sz w:val="24"/>
                <w:szCs w:val="24"/>
              </w:rPr>
            </w:pPr>
            <w:r w:rsidRPr="00387463">
              <w:rPr>
                <w:rFonts w:ascii="Gill Sans MT" w:eastAsia="Batang" w:hAnsi="Gill Sans MT"/>
                <w:b/>
                <w:bCs/>
                <w:iCs/>
                <w:sz w:val="24"/>
                <w:szCs w:val="24"/>
              </w:rPr>
              <w:t>Definition</w:t>
            </w:r>
          </w:p>
        </w:tc>
        <w:tc>
          <w:tcPr>
            <w:tcW w:w="1440" w:type="dxa"/>
          </w:tcPr>
          <w:p w14:paraId="2B70F7DE" w14:textId="77777777" w:rsidR="00F42E5D" w:rsidRPr="00387463" w:rsidRDefault="00F42E5D" w:rsidP="00387463">
            <w:pPr>
              <w:jc w:val="both"/>
              <w:rPr>
                <w:rFonts w:ascii="Gill Sans MT" w:eastAsia="Batang" w:hAnsi="Gill Sans MT"/>
                <w:b/>
                <w:bCs/>
                <w:iCs/>
                <w:sz w:val="24"/>
                <w:szCs w:val="24"/>
              </w:rPr>
            </w:pPr>
            <w:r w:rsidRPr="00387463">
              <w:rPr>
                <w:rFonts w:ascii="Gill Sans MT" w:eastAsia="Batang" w:hAnsi="Gill Sans MT"/>
                <w:b/>
                <w:bCs/>
                <w:iCs/>
                <w:sz w:val="24"/>
                <w:szCs w:val="24"/>
              </w:rPr>
              <w:t>Points</w:t>
            </w:r>
          </w:p>
        </w:tc>
      </w:tr>
      <w:tr w:rsidR="00F42E5D" w:rsidRPr="00434FB9" w14:paraId="15578F27" w14:textId="77777777" w:rsidTr="00FF2341">
        <w:trPr>
          <w:trHeight w:val="1176"/>
        </w:trPr>
        <w:tc>
          <w:tcPr>
            <w:tcW w:w="1975" w:type="dxa"/>
          </w:tcPr>
          <w:p w14:paraId="19E395D1"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Technical Proposal Evaluation</w:t>
            </w:r>
          </w:p>
        </w:tc>
        <w:tc>
          <w:tcPr>
            <w:tcW w:w="5940" w:type="dxa"/>
          </w:tcPr>
          <w:p w14:paraId="4AF724C1" w14:textId="77777777" w:rsidR="00F42E5D"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 xml:space="preserve">The extent to which the offeror demonstrates a sound understanding of the RFA’s statement of work, and the degree to which the implementation approach is technically and politically sound and the offeror shows a strong understanding of the local context. </w:t>
            </w:r>
          </w:p>
          <w:p w14:paraId="0649D1F0" w14:textId="77777777" w:rsidR="00F42E5D" w:rsidRPr="00387463" w:rsidRDefault="00F42E5D" w:rsidP="00387463">
            <w:pPr>
              <w:jc w:val="both"/>
              <w:rPr>
                <w:rFonts w:ascii="Gill Sans MT" w:eastAsia="Batang" w:hAnsi="Gill Sans MT"/>
                <w:iCs/>
                <w:sz w:val="24"/>
                <w:szCs w:val="24"/>
              </w:rPr>
            </w:pPr>
          </w:p>
        </w:tc>
        <w:tc>
          <w:tcPr>
            <w:tcW w:w="1440" w:type="dxa"/>
          </w:tcPr>
          <w:p w14:paraId="5907A526"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40 points</w:t>
            </w:r>
          </w:p>
        </w:tc>
      </w:tr>
      <w:tr w:rsidR="00F42E5D" w:rsidRPr="00434FB9" w14:paraId="56B413A6" w14:textId="77777777" w:rsidTr="00FF2341">
        <w:tc>
          <w:tcPr>
            <w:tcW w:w="1975" w:type="dxa"/>
          </w:tcPr>
          <w:p w14:paraId="5B1B97AB"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Staffing plan</w:t>
            </w:r>
          </w:p>
        </w:tc>
        <w:tc>
          <w:tcPr>
            <w:tcW w:w="5940" w:type="dxa"/>
          </w:tcPr>
          <w:p w14:paraId="4C96666B" w14:textId="77777777" w:rsidR="00F42E5D"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 xml:space="preserve">The quality of the staffing and management plan and the extent to which the offeror demonstrates that the proposed team will be able to carry out the activities envisioned in the response to the RFA. </w:t>
            </w:r>
          </w:p>
          <w:p w14:paraId="40E3F4E8" w14:textId="77777777" w:rsidR="00F42E5D" w:rsidRPr="00387463" w:rsidRDefault="00F42E5D" w:rsidP="00387463">
            <w:pPr>
              <w:jc w:val="both"/>
              <w:rPr>
                <w:rFonts w:ascii="Gill Sans MT" w:eastAsia="Batang" w:hAnsi="Gill Sans MT"/>
                <w:iCs/>
                <w:sz w:val="24"/>
                <w:szCs w:val="24"/>
              </w:rPr>
            </w:pPr>
          </w:p>
        </w:tc>
        <w:tc>
          <w:tcPr>
            <w:tcW w:w="1440" w:type="dxa"/>
          </w:tcPr>
          <w:p w14:paraId="0437408D"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20 points</w:t>
            </w:r>
          </w:p>
        </w:tc>
      </w:tr>
      <w:tr w:rsidR="00F42E5D" w:rsidRPr="00434FB9" w14:paraId="7058EA1A" w14:textId="77777777" w:rsidTr="00FF2341">
        <w:tc>
          <w:tcPr>
            <w:tcW w:w="1975" w:type="dxa"/>
          </w:tcPr>
          <w:p w14:paraId="5562AA82"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Cost Application</w:t>
            </w:r>
          </w:p>
        </w:tc>
        <w:tc>
          <w:tcPr>
            <w:tcW w:w="5940" w:type="dxa"/>
          </w:tcPr>
          <w:p w14:paraId="453429F3" w14:textId="77777777" w:rsidR="00F42E5D" w:rsidRDefault="00F42E5D" w:rsidP="00387463">
            <w:pPr>
              <w:jc w:val="both"/>
              <w:rPr>
                <w:rFonts w:ascii="Gill Sans MT" w:eastAsia="Batang" w:hAnsi="Gill Sans MT"/>
                <w:sz w:val="24"/>
                <w:szCs w:val="24"/>
              </w:rPr>
            </w:pPr>
            <w:r w:rsidRPr="00387463">
              <w:rPr>
                <w:rFonts w:ascii="Gill Sans MT" w:eastAsia="Batang" w:hAnsi="Gill Sans MT"/>
                <w:iCs/>
                <w:sz w:val="24"/>
                <w:szCs w:val="24"/>
              </w:rPr>
              <w:t xml:space="preserve">Cost will be evaluated based on FAR 15.404-1, </w:t>
            </w:r>
            <w:r w:rsidRPr="00387463">
              <w:rPr>
                <w:rFonts w:ascii="Gill Sans MT" w:eastAsia="Batang" w:hAnsi="Gill Sans MT"/>
                <w:sz w:val="24"/>
                <w:szCs w:val="24"/>
              </w:rPr>
              <w:t>2 CFR 200 Subpart E</w:t>
            </w:r>
            <w:r w:rsidRPr="00387463">
              <w:rPr>
                <w:rFonts w:ascii="Gill Sans MT" w:eastAsia="Batang" w:hAnsi="Gill Sans MT"/>
                <w:iCs/>
                <w:sz w:val="24"/>
                <w:szCs w:val="24"/>
              </w:rPr>
              <w:t xml:space="preserve">, </w:t>
            </w:r>
            <w:r w:rsidRPr="00387463">
              <w:rPr>
                <w:rFonts w:ascii="Gill Sans MT" w:eastAsia="Batang" w:hAnsi="Gill Sans MT"/>
                <w:sz w:val="24"/>
                <w:szCs w:val="24"/>
              </w:rPr>
              <w:t>CFR 200.306, and 2 CFR 700.10</w:t>
            </w:r>
          </w:p>
          <w:p w14:paraId="7D3A1841" w14:textId="77777777" w:rsidR="00F42E5D" w:rsidRPr="00387463" w:rsidRDefault="00F42E5D" w:rsidP="00387463">
            <w:pPr>
              <w:jc w:val="both"/>
              <w:rPr>
                <w:rFonts w:ascii="Gill Sans MT" w:eastAsia="Batang" w:hAnsi="Gill Sans MT"/>
                <w:iCs/>
                <w:sz w:val="24"/>
                <w:szCs w:val="24"/>
              </w:rPr>
            </w:pPr>
          </w:p>
        </w:tc>
        <w:tc>
          <w:tcPr>
            <w:tcW w:w="1440" w:type="dxa"/>
          </w:tcPr>
          <w:p w14:paraId="38C172AB"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20 points</w:t>
            </w:r>
          </w:p>
        </w:tc>
      </w:tr>
      <w:tr w:rsidR="00F42E5D" w:rsidRPr="00434FB9" w14:paraId="3F051626" w14:textId="77777777" w:rsidTr="00FF2341">
        <w:tc>
          <w:tcPr>
            <w:tcW w:w="1975" w:type="dxa"/>
          </w:tcPr>
          <w:p w14:paraId="1E19DB70"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 xml:space="preserve">Past Performance </w:t>
            </w:r>
          </w:p>
        </w:tc>
        <w:tc>
          <w:tcPr>
            <w:tcW w:w="5940" w:type="dxa"/>
          </w:tcPr>
          <w:p w14:paraId="6104120E" w14:textId="77777777" w:rsidR="00F42E5D"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 xml:space="preserve">The extent to which the offeror demonstrates </w:t>
            </w:r>
            <w:proofErr w:type="gramStart"/>
            <w:r w:rsidRPr="00387463">
              <w:rPr>
                <w:rFonts w:ascii="Gill Sans MT" w:eastAsia="Batang" w:hAnsi="Gill Sans MT"/>
                <w:iCs/>
                <w:sz w:val="24"/>
                <w:szCs w:val="24"/>
              </w:rPr>
              <w:t>past experience</w:t>
            </w:r>
            <w:proofErr w:type="gramEnd"/>
            <w:r w:rsidRPr="00387463">
              <w:rPr>
                <w:rFonts w:ascii="Gill Sans MT" w:eastAsia="Batang" w:hAnsi="Gill Sans MT"/>
                <w:iCs/>
                <w:sz w:val="24"/>
                <w:szCs w:val="24"/>
              </w:rPr>
              <w:t xml:space="preserve"> managing projects of similar size and scope. Organizations with no significant past performance will be given a neutral rating.</w:t>
            </w:r>
          </w:p>
          <w:p w14:paraId="74359007" w14:textId="77777777" w:rsidR="00F42E5D" w:rsidRPr="00387463" w:rsidRDefault="00F42E5D" w:rsidP="00387463">
            <w:pPr>
              <w:jc w:val="both"/>
              <w:rPr>
                <w:rFonts w:ascii="Gill Sans MT" w:eastAsia="Batang" w:hAnsi="Gill Sans MT"/>
                <w:iCs/>
                <w:sz w:val="24"/>
                <w:szCs w:val="24"/>
              </w:rPr>
            </w:pPr>
          </w:p>
        </w:tc>
        <w:tc>
          <w:tcPr>
            <w:tcW w:w="1440" w:type="dxa"/>
          </w:tcPr>
          <w:p w14:paraId="45E360CB" w14:textId="77777777" w:rsidR="00F42E5D" w:rsidRPr="00387463" w:rsidRDefault="00F42E5D" w:rsidP="00387463">
            <w:pPr>
              <w:spacing w:after="120"/>
              <w:jc w:val="both"/>
              <w:rPr>
                <w:rFonts w:ascii="Gill Sans MT" w:eastAsia="Batang" w:hAnsi="Gill Sans MT"/>
                <w:iCs/>
                <w:sz w:val="24"/>
                <w:szCs w:val="24"/>
              </w:rPr>
            </w:pPr>
            <w:r w:rsidRPr="00387463">
              <w:rPr>
                <w:rFonts w:ascii="Gill Sans MT" w:eastAsia="Batang" w:hAnsi="Gill Sans MT"/>
                <w:iCs/>
                <w:sz w:val="24"/>
                <w:szCs w:val="24"/>
              </w:rPr>
              <w:t>20 points</w:t>
            </w:r>
          </w:p>
        </w:tc>
      </w:tr>
      <w:tr w:rsidR="00F42E5D" w:rsidRPr="00434FB9" w14:paraId="5DFA0A25" w14:textId="77777777" w:rsidTr="00FF2341">
        <w:tc>
          <w:tcPr>
            <w:tcW w:w="1975" w:type="dxa"/>
          </w:tcPr>
          <w:p w14:paraId="412F97CE"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Total Points</w:t>
            </w:r>
          </w:p>
        </w:tc>
        <w:tc>
          <w:tcPr>
            <w:tcW w:w="5940" w:type="dxa"/>
          </w:tcPr>
          <w:p w14:paraId="59DF982B" w14:textId="77777777" w:rsidR="00F42E5D" w:rsidRPr="00387463" w:rsidRDefault="00F42E5D" w:rsidP="00387463">
            <w:pPr>
              <w:jc w:val="both"/>
              <w:rPr>
                <w:rFonts w:ascii="Gill Sans MT" w:eastAsia="Batang" w:hAnsi="Gill Sans MT"/>
                <w:iCs/>
                <w:sz w:val="24"/>
                <w:szCs w:val="24"/>
              </w:rPr>
            </w:pPr>
          </w:p>
        </w:tc>
        <w:tc>
          <w:tcPr>
            <w:tcW w:w="1440" w:type="dxa"/>
          </w:tcPr>
          <w:p w14:paraId="71DD9DC2" w14:textId="77777777" w:rsidR="00F42E5D" w:rsidRPr="00387463" w:rsidRDefault="00F42E5D" w:rsidP="00387463">
            <w:pPr>
              <w:jc w:val="both"/>
              <w:rPr>
                <w:rFonts w:ascii="Gill Sans MT" w:eastAsia="Batang" w:hAnsi="Gill Sans MT"/>
                <w:iCs/>
                <w:sz w:val="24"/>
                <w:szCs w:val="24"/>
              </w:rPr>
            </w:pPr>
            <w:r w:rsidRPr="00387463">
              <w:rPr>
                <w:rFonts w:ascii="Gill Sans MT" w:eastAsia="Batang" w:hAnsi="Gill Sans MT"/>
                <w:iCs/>
                <w:sz w:val="24"/>
                <w:szCs w:val="24"/>
              </w:rPr>
              <w:t>100 points</w:t>
            </w:r>
          </w:p>
        </w:tc>
      </w:tr>
    </w:tbl>
    <w:p w14:paraId="5C641238" w14:textId="77777777" w:rsidR="00F42E5D" w:rsidRPr="00387463" w:rsidRDefault="00F42E5D" w:rsidP="00F42E5D">
      <w:pPr>
        <w:spacing w:after="120" w:line="240" w:lineRule="auto"/>
        <w:jc w:val="both"/>
        <w:rPr>
          <w:rFonts w:ascii="Gill Sans MT" w:eastAsia="Batang" w:hAnsi="Gill Sans MT" w:cs="Times New Roman"/>
          <w:iCs/>
          <w:sz w:val="24"/>
          <w:szCs w:val="24"/>
        </w:rPr>
      </w:pPr>
    </w:p>
    <w:p w14:paraId="061BD3F3" w14:textId="77777777" w:rsidR="00F42E5D" w:rsidRPr="00387463" w:rsidRDefault="00F42E5D" w:rsidP="00F42E5D">
      <w:pPr>
        <w:spacing w:after="120" w:line="240" w:lineRule="auto"/>
        <w:jc w:val="both"/>
        <w:rPr>
          <w:rFonts w:ascii="Gill Sans MT" w:eastAsia="Batang" w:hAnsi="Gill Sans MT" w:cs="Times New Roman"/>
          <w:iCs/>
          <w:sz w:val="24"/>
          <w:szCs w:val="24"/>
        </w:rPr>
      </w:pPr>
      <w:r w:rsidRPr="00387463">
        <w:rPr>
          <w:rFonts w:ascii="Gill Sans MT" w:eastAsia="Batang" w:hAnsi="Gill Sans MT" w:cs="Times New Roman"/>
          <w:iCs/>
          <w:sz w:val="24"/>
          <w:szCs w:val="24"/>
        </w:rPr>
        <w:t>Applications will be scored based on the technical capacity to carry out the work, including access to desired locations/populations, ability to carry out high quality work, proposed personnel, sound and relevant methodology and approach, applicability to Project needs, and the value of the organization to achieving overall Project goals.</w:t>
      </w:r>
    </w:p>
    <w:p w14:paraId="749ED070" w14:textId="77777777" w:rsidR="00F42E5D" w:rsidRPr="00387463" w:rsidRDefault="00F42E5D" w:rsidP="00F42E5D">
      <w:pPr>
        <w:spacing w:after="120" w:line="240" w:lineRule="auto"/>
        <w:jc w:val="both"/>
        <w:rPr>
          <w:rFonts w:ascii="Gill Sans MT" w:eastAsia="Batang" w:hAnsi="Gill Sans MT" w:cs="Times New Roman"/>
          <w:iCs/>
          <w:sz w:val="24"/>
          <w:szCs w:val="24"/>
        </w:rPr>
      </w:pPr>
      <w:r w:rsidRPr="00387463">
        <w:rPr>
          <w:rFonts w:ascii="Gill Sans MT" w:eastAsia="Batang" w:hAnsi="Gill Sans MT" w:cs="Times New Roman"/>
          <w:iCs/>
          <w:sz w:val="24"/>
          <w:szCs w:val="24"/>
        </w:rPr>
        <w:t xml:space="preserve">Top technically evaluated potential recipients will have financial applications reviewed as well to check for reasonableness by </w:t>
      </w:r>
      <w:r>
        <w:rPr>
          <w:rFonts w:ascii="Gill Sans MT" w:eastAsia="Batang" w:hAnsi="Gill Sans MT" w:cs="Times New Roman"/>
          <w:iCs/>
          <w:sz w:val="24"/>
          <w:szCs w:val="24"/>
        </w:rPr>
        <w:t xml:space="preserve">the </w:t>
      </w:r>
      <w:r w:rsidRPr="00387463">
        <w:rPr>
          <w:rFonts w:ascii="Gill Sans MT" w:eastAsia="Batang" w:hAnsi="Gill Sans MT" w:cs="Times New Roman"/>
          <w:iCs/>
          <w:sz w:val="24"/>
          <w:szCs w:val="24"/>
        </w:rPr>
        <w:t>Grants Manager and cost realism by the GEC.</w:t>
      </w:r>
    </w:p>
    <w:p w14:paraId="0BAF5D9D" w14:textId="77777777" w:rsidR="00F42E5D" w:rsidRDefault="00000000" w:rsidP="00F42E5D">
      <w:pPr>
        <w:spacing w:after="120" w:line="240" w:lineRule="auto"/>
        <w:jc w:val="both"/>
        <w:rPr>
          <w:rFonts w:ascii="Gill Sans MT" w:eastAsia="Batang" w:hAnsi="Gill Sans MT" w:cs="Times New Roman"/>
          <w:iCs/>
          <w:sz w:val="24"/>
          <w:szCs w:val="24"/>
        </w:rPr>
      </w:pPr>
      <w:sdt>
        <w:sdtPr>
          <w:rPr>
            <w:rFonts w:ascii="Gill Sans MT" w:eastAsia="Batang" w:hAnsi="Gill Sans MT" w:cs="Times New Roman"/>
            <w:iCs/>
            <w:sz w:val="24"/>
            <w:szCs w:val="24"/>
          </w:rPr>
          <w:tag w:val="goog_rdk_39"/>
          <w:id w:val="-920102759"/>
        </w:sdtPr>
        <w:sdtContent>
          <w:r w:rsidR="00F42E5D" w:rsidRPr="00387463">
            <w:rPr>
              <w:rFonts w:ascii="Gill Sans MT" w:eastAsia="Batang" w:hAnsi="Gill Sans MT" w:cs="Times New Roman"/>
              <w:iCs/>
              <w:sz w:val="24"/>
              <w:szCs w:val="24"/>
            </w:rPr>
            <w:t>Apparently Successful Applicant(s)</w:t>
          </w:r>
        </w:sdtContent>
      </w:sdt>
      <w:sdt>
        <w:sdtPr>
          <w:rPr>
            <w:rFonts w:ascii="Gill Sans MT" w:eastAsia="Batang" w:hAnsi="Gill Sans MT" w:cs="Times New Roman"/>
            <w:iCs/>
            <w:sz w:val="24"/>
            <w:szCs w:val="24"/>
          </w:rPr>
          <w:tag w:val="goog_rdk_40"/>
          <w:id w:val="1183714202"/>
        </w:sdtPr>
        <w:sdtContent>
          <w:r w:rsidR="00F42E5D" w:rsidRPr="00387463">
            <w:rPr>
              <w:rFonts w:ascii="Gill Sans MT" w:eastAsia="Batang" w:hAnsi="Gill Sans MT" w:cs="Times New Roman"/>
              <w:iCs/>
              <w:sz w:val="24"/>
              <w:szCs w:val="24"/>
            </w:rPr>
            <w:t xml:space="preserve"> </w:t>
          </w:r>
        </w:sdtContent>
      </w:sdt>
      <w:r w:rsidR="00F42E5D" w:rsidRPr="00387463">
        <w:rPr>
          <w:rFonts w:ascii="Gill Sans MT" w:eastAsia="Batang" w:hAnsi="Gill Sans MT" w:cs="Times New Roman"/>
          <w:iCs/>
          <w:sz w:val="24"/>
          <w:szCs w:val="24"/>
        </w:rPr>
        <w:t>will be determined (when possible), and finalists will be allowed to make corrections as needed.</w:t>
      </w:r>
    </w:p>
    <w:sectPr w:rsidR="00F42E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BA1C" w14:textId="77777777" w:rsidR="00FD70D4" w:rsidRDefault="00FD70D4" w:rsidP="00FF759F">
      <w:pPr>
        <w:spacing w:after="0" w:line="240" w:lineRule="auto"/>
      </w:pPr>
      <w:r>
        <w:separator/>
      </w:r>
    </w:p>
  </w:endnote>
  <w:endnote w:type="continuationSeparator" w:id="0">
    <w:p w14:paraId="5591B960" w14:textId="77777777" w:rsidR="00FD70D4" w:rsidRDefault="00FD70D4" w:rsidP="00FF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77E0" w14:textId="5D83A15A" w:rsidR="00FF759F" w:rsidRDefault="00FF759F" w:rsidP="00FF759F">
    <w:pPr>
      <w:pStyle w:val="Footer"/>
      <w:jc w:val="right"/>
    </w:pPr>
    <w:r w:rsidRPr="00FF759F">
      <w:t>USAID Justice for All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96D3" w14:textId="77777777" w:rsidR="00FD70D4" w:rsidRDefault="00FD70D4" w:rsidP="00FF759F">
      <w:pPr>
        <w:spacing w:after="0" w:line="240" w:lineRule="auto"/>
      </w:pPr>
      <w:r>
        <w:separator/>
      </w:r>
    </w:p>
  </w:footnote>
  <w:footnote w:type="continuationSeparator" w:id="0">
    <w:p w14:paraId="2646BB59" w14:textId="77777777" w:rsidR="00FD70D4" w:rsidRDefault="00FD70D4" w:rsidP="00FF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73BC" w14:textId="5BF9016C" w:rsidR="00FF759F" w:rsidRPr="00FF759F" w:rsidRDefault="00FF759F" w:rsidP="00FF759F">
    <w:pPr>
      <w:pStyle w:val="Header"/>
      <w:jc w:val="right"/>
    </w:pPr>
    <w:r w:rsidRPr="00FF759F">
      <w:t xml:space="preserve">Development Professionals, Inc. </w:t>
    </w:r>
  </w:p>
  <w:p w14:paraId="62B90871" w14:textId="0699F92E" w:rsidR="00FF759F" w:rsidRDefault="00FF759F">
    <w:pPr>
      <w:pStyle w:val="Header"/>
    </w:pPr>
  </w:p>
  <w:p w14:paraId="228D621E" w14:textId="77777777" w:rsidR="00FF759F" w:rsidRDefault="00FF7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5D"/>
    <w:rsid w:val="00333BD2"/>
    <w:rsid w:val="0049184E"/>
    <w:rsid w:val="00A42474"/>
    <w:rsid w:val="00F42E5D"/>
    <w:rsid w:val="00FD70D4"/>
    <w:rsid w:val="00FF2341"/>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486E"/>
  <w15:chartTrackingRefBased/>
  <w15:docId w15:val="{6910ECCD-458E-413B-A581-539B99BA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E5D"/>
    <w:rPr>
      <w:rFonts w:eastAsiaTheme="majorEastAsia" w:cstheme="majorBidi"/>
      <w:color w:val="272727" w:themeColor="text1" w:themeTint="D8"/>
    </w:rPr>
  </w:style>
  <w:style w:type="paragraph" w:styleId="Title">
    <w:name w:val="Title"/>
    <w:basedOn w:val="Normal"/>
    <w:next w:val="Normal"/>
    <w:link w:val="TitleChar"/>
    <w:uiPriority w:val="10"/>
    <w:qFormat/>
    <w:rsid w:val="00F42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E5D"/>
    <w:pPr>
      <w:spacing w:before="160"/>
      <w:jc w:val="center"/>
    </w:pPr>
    <w:rPr>
      <w:i/>
      <w:iCs/>
      <w:color w:val="404040" w:themeColor="text1" w:themeTint="BF"/>
    </w:rPr>
  </w:style>
  <w:style w:type="character" w:customStyle="1" w:styleId="QuoteChar">
    <w:name w:val="Quote Char"/>
    <w:basedOn w:val="DefaultParagraphFont"/>
    <w:link w:val="Quote"/>
    <w:uiPriority w:val="29"/>
    <w:rsid w:val="00F42E5D"/>
    <w:rPr>
      <w:i/>
      <w:iCs/>
      <w:color w:val="404040" w:themeColor="text1" w:themeTint="BF"/>
    </w:rPr>
  </w:style>
  <w:style w:type="paragraph" w:styleId="ListParagraph">
    <w:name w:val="List Paragraph"/>
    <w:basedOn w:val="Normal"/>
    <w:uiPriority w:val="34"/>
    <w:qFormat/>
    <w:rsid w:val="00F42E5D"/>
    <w:pPr>
      <w:ind w:left="720"/>
      <w:contextualSpacing/>
    </w:pPr>
  </w:style>
  <w:style w:type="character" w:styleId="IntenseEmphasis">
    <w:name w:val="Intense Emphasis"/>
    <w:basedOn w:val="DefaultParagraphFont"/>
    <w:uiPriority w:val="21"/>
    <w:qFormat/>
    <w:rsid w:val="00F42E5D"/>
    <w:rPr>
      <w:i/>
      <w:iCs/>
      <w:color w:val="0F4761" w:themeColor="accent1" w:themeShade="BF"/>
    </w:rPr>
  </w:style>
  <w:style w:type="paragraph" w:styleId="IntenseQuote">
    <w:name w:val="Intense Quote"/>
    <w:basedOn w:val="Normal"/>
    <w:next w:val="Normal"/>
    <w:link w:val="IntenseQuoteChar"/>
    <w:uiPriority w:val="30"/>
    <w:qFormat/>
    <w:rsid w:val="00F42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E5D"/>
    <w:rPr>
      <w:i/>
      <w:iCs/>
      <w:color w:val="0F4761" w:themeColor="accent1" w:themeShade="BF"/>
    </w:rPr>
  </w:style>
  <w:style w:type="character" w:styleId="IntenseReference">
    <w:name w:val="Intense Reference"/>
    <w:basedOn w:val="DefaultParagraphFont"/>
    <w:uiPriority w:val="32"/>
    <w:qFormat/>
    <w:rsid w:val="00F42E5D"/>
    <w:rPr>
      <w:b/>
      <w:bCs/>
      <w:smallCaps/>
      <w:color w:val="0F4761" w:themeColor="accent1" w:themeShade="BF"/>
      <w:spacing w:val="5"/>
    </w:rPr>
  </w:style>
  <w:style w:type="table" w:styleId="TableGrid">
    <w:name w:val="Table Grid"/>
    <w:basedOn w:val="TableNormal"/>
    <w:rsid w:val="00F42E5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9F"/>
  </w:style>
  <w:style w:type="paragraph" w:styleId="Footer">
    <w:name w:val="footer"/>
    <w:basedOn w:val="Normal"/>
    <w:link w:val="FooterChar"/>
    <w:uiPriority w:val="99"/>
    <w:unhideWhenUsed/>
    <w:rsid w:val="00FF7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cc52fa-0c7b-411c-9f4d-afc9808b873f">
      <Terms xmlns="http://schemas.microsoft.com/office/infopath/2007/PartnerControls"/>
    </lcf76f155ced4ddcb4097134ff3c332f>
    <TaxCatchAll xmlns="f1e64fd4-6e9b-4b43-855b-9f788b20547f" xsi:nil="true"/>
  </documentManagement>
</p:properties>
</file>

<file path=customXml/itemProps1.xml><?xml version="1.0" encoding="utf-8"?>
<ds:datastoreItem xmlns:ds="http://schemas.openxmlformats.org/officeDocument/2006/customXml" ds:itemID="{0618FBFB-8F26-41AE-AE3D-E4B747C03019}">
  <ds:schemaRefs>
    <ds:schemaRef ds:uri="http://schemas.openxmlformats.org/officeDocument/2006/bibliography"/>
  </ds:schemaRefs>
</ds:datastoreItem>
</file>

<file path=customXml/itemProps2.xml><?xml version="1.0" encoding="utf-8"?>
<ds:datastoreItem xmlns:ds="http://schemas.openxmlformats.org/officeDocument/2006/customXml" ds:itemID="{F9772345-A328-48FD-8CE9-9F65CE29C207}"/>
</file>

<file path=customXml/itemProps3.xml><?xml version="1.0" encoding="utf-8"?>
<ds:datastoreItem xmlns:ds="http://schemas.openxmlformats.org/officeDocument/2006/customXml" ds:itemID="{DF5770D8-793F-4858-878C-98986E47011D}"/>
</file>

<file path=customXml/itemProps4.xml><?xml version="1.0" encoding="utf-8"?>
<ds:datastoreItem xmlns:ds="http://schemas.openxmlformats.org/officeDocument/2006/customXml" ds:itemID="{24DF1817-B0BE-4235-B64F-2DAEA953C3F2}"/>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Rašić</dc:creator>
  <cp:keywords/>
  <dc:description/>
  <cp:lastModifiedBy>Marc Lassman</cp:lastModifiedBy>
  <cp:revision>4</cp:revision>
  <dcterms:created xsi:type="dcterms:W3CDTF">2024-02-28T14:18:00Z</dcterms:created>
  <dcterms:modified xsi:type="dcterms:W3CDTF">2024-02-29T07:39:00Z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0x010100C646FC3F22202A47A8DA5BB12BAE01CC</vt:lpwstr>
  </property>
</Properties>
</file>